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02FB1" w14:textId="5D21EDE4" w:rsidR="000B4ACC" w:rsidRPr="001960A3" w:rsidRDefault="000B4ACC" w:rsidP="000B4ACC">
      <w:pPr>
        <w:jc w:val="center"/>
        <w:rPr>
          <w:b/>
          <w:color w:val="C00000"/>
          <w:sz w:val="56"/>
          <w:szCs w:val="56"/>
          <w:u w:val="single"/>
        </w:rPr>
      </w:pPr>
      <w:bookmarkStart w:id="0" w:name="_GoBack"/>
      <w:bookmarkEnd w:id="0"/>
      <w:r w:rsidRPr="001960A3">
        <w:rPr>
          <w:b/>
          <w:color w:val="C00000"/>
          <w:sz w:val="56"/>
          <w:szCs w:val="56"/>
          <w:u w:val="single"/>
        </w:rPr>
        <w:t>Vnitřní řád Klokánku</w:t>
      </w:r>
    </w:p>
    <w:p w14:paraId="38429CCD" w14:textId="77777777" w:rsidR="000B4ACC" w:rsidRDefault="000B4ACC" w:rsidP="000B4ACC">
      <w:pPr>
        <w:jc w:val="center"/>
        <w:rPr>
          <w:b/>
        </w:rPr>
      </w:pPr>
    </w:p>
    <w:p w14:paraId="6E8635EB" w14:textId="77777777" w:rsidR="000B4ACC" w:rsidRPr="001960A3" w:rsidRDefault="000B4ACC" w:rsidP="000B4ACC">
      <w:pPr>
        <w:jc w:val="center"/>
        <w:rPr>
          <w:b/>
        </w:rPr>
      </w:pPr>
      <w:r w:rsidRPr="001960A3">
        <w:rPr>
          <w:b/>
        </w:rPr>
        <w:t xml:space="preserve">potřebné informace z Vnitřního řádu zařízení týkající se peče o dítě a provozu zařízení </w:t>
      </w:r>
    </w:p>
    <w:p w14:paraId="2DCF6338" w14:textId="77777777" w:rsidR="000B4ACC" w:rsidRDefault="000B4ACC" w:rsidP="000B4ACC">
      <w:pPr>
        <w:jc w:val="both"/>
        <w:rPr>
          <w:b/>
        </w:rPr>
      </w:pPr>
    </w:p>
    <w:p w14:paraId="081E3616" w14:textId="7CC5BF3A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Klokánek</w:t>
      </w:r>
      <w:r w:rsidRPr="001960A3">
        <w:t xml:space="preserve"> </w:t>
      </w:r>
      <w:r w:rsidRPr="001960A3">
        <w:rPr>
          <w:b/>
        </w:rPr>
        <w:t xml:space="preserve">zajišťuje provoz v souladu s Vnitřním řádem, s provozními směrnicemi a dalšími metodickými pravidly zařízení, které jsou k nahlédnutí v návštěvní místnosti a také v každém bytě, které Vám rádi </w:t>
      </w:r>
      <w:r>
        <w:rPr>
          <w:b/>
        </w:rPr>
        <w:t xml:space="preserve">při sepisování smlouvy o pobytu a ochraně dítěte </w:t>
      </w:r>
      <w:r w:rsidRPr="001960A3">
        <w:rPr>
          <w:b/>
        </w:rPr>
        <w:t xml:space="preserve">na požádání vytiskneme pro osobní potřebu. </w:t>
      </w:r>
    </w:p>
    <w:p w14:paraId="0A0D9C33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U příjmu dítěte sociální pracovnice zařízení nebo ředitelka zařízení seznámí dítě, zákonného zástupce nebo jinou osobu odpovědnou za výchovu dítěte s Vnitřním řádem zařízení.</w:t>
      </w:r>
    </w:p>
    <w:p w14:paraId="472DF877" w14:textId="77777777" w:rsidR="000B4ACC" w:rsidRPr="001960A3" w:rsidRDefault="000B4ACC" w:rsidP="000B4ACC">
      <w:pPr>
        <w:jc w:val="center"/>
        <w:rPr>
          <w:b/>
          <w:color w:val="C00000"/>
          <w:sz w:val="36"/>
        </w:rPr>
      </w:pPr>
      <w:r w:rsidRPr="001960A3">
        <w:rPr>
          <w:b/>
          <w:color w:val="C00000"/>
          <w:sz w:val="36"/>
        </w:rPr>
        <w:t>Pravidlo č. 1</w:t>
      </w:r>
    </w:p>
    <w:p w14:paraId="49A1BFF3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U příjmu dítěte po Vás budeme požadovat tyto doklady dítěte:</w:t>
      </w:r>
    </w:p>
    <w:p w14:paraId="5D4DBB7F" w14:textId="77777777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>průkaz zdravotního pojištění</w:t>
      </w:r>
    </w:p>
    <w:p w14:paraId="0A1ED866" w14:textId="77777777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>občanský průkaz u dítěte staršího 15-ti let – pouze k nahlédnutí</w:t>
      </w:r>
    </w:p>
    <w:p w14:paraId="5C606BB0" w14:textId="77777777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 xml:space="preserve">očkovací průkaz dítěte   </w:t>
      </w:r>
    </w:p>
    <w:p w14:paraId="7A102656" w14:textId="77777777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 xml:space="preserve">pokud je to možné - výpis ze zdravotní dokumentace dítěte ošetřujícího pediatra (léky, alergie, zdravotní problémy, odborní lékaři). Vaše dítě ještě neznáme, proto jsou tyto informace velmi důležité tak, abychom mohli u Vašeho dítěte navázat na jeho dosavadní zdravotní péči.   </w:t>
      </w:r>
    </w:p>
    <w:p w14:paraId="589BA48E" w14:textId="5BAC5A2B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 xml:space="preserve">doklad totožnosti osoby, která dítě předává </w:t>
      </w:r>
      <w:r>
        <w:t xml:space="preserve">do ZDVOP Klokánek </w:t>
      </w:r>
    </w:p>
    <w:p w14:paraId="6604CA67" w14:textId="77777777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>pokud je to možné, v případě osoby „jiné pečující o dítě“, než je zákonný zástupce, pravomocné rozhodnutí soudu o svěření dítěte do péče</w:t>
      </w:r>
    </w:p>
    <w:p w14:paraId="60D5C40E" w14:textId="2E47CA93" w:rsidR="000B4ACC" w:rsidRPr="001960A3" w:rsidRDefault="000B4ACC" w:rsidP="000B4ACC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1960A3">
        <w:t>rozhodnutí (potvrzení) úřadu práce o tom, že jste příjemce dávky pomoci v hmotné nouzi</w:t>
      </w:r>
      <w:r w:rsidR="00D05041">
        <w:t xml:space="preserve"> (v tomto případě nebudete hradit žádný příspěvek na pomoc, ochranu a péči)</w:t>
      </w:r>
      <w:r w:rsidRPr="001960A3">
        <w:t xml:space="preserve">    </w:t>
      </w:r>
    </w:p>
    <w:p w14:paraId="03CF49D8" w14:textId="77777777" w:rsidR="000B4ACC" w:rsidRPr="001960A3" w:rsidRDefault="000B4ACC" w:rsidP="000B4ACC">
      <w:pPr>
        <w:jc w:val="both"/>
        <w:rPr>
          <w:b/>
        </w:rPr>
      </w:pPr>
    </w:p>
    <w:p w14:paraId="4250A781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K podpisu Vám předložíme tyto dokumenty ve dvojím vyhotovení, a to 1x pro Klokánek a 1x pro Vás:</w:t>
      </w:r>
    </w:p>
    <w:p w14:paraId="2B36D702" w14:textId="77777777" w:rsidR="000B4ACC" w:rsidRPr="001960A3" w:rsidRDefault="000B4ACC" w:rsidP="000B4AC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1960A3">
        <w:rPr>
          <w:color w:val="000000"/>
        </w:rPr>
        <w:t xml:space="preserve">Smlouvu o poskytování ochrany a pomoci v ZDVOP Klokánek </w:t>
      </w:r>
    </w:p>
    <w:p w14:paraId="71E324B7" w14:textId="41800323" w:rsidR="000B4ACC" w:rsidRPr="001960A3" w:rsidRDefault="000B4ACC" w:rsidP="000B4AC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1960A3">
        <w:rPr>
          <w:color w:val="000000"/>
        </w:rPr>
        <w:t>Přílohy</w:t>
      </w:r>
      <w:r w:rsidR="00193668">
        <w:rPr>
          <w:color w:val="000000"/>
        </w:rPr>
        <w:t xml:space="preserve">, na požádání vytiskneme, v opačném příapdě jsou opakovaně v zařízení k nehlédnutí: </w:t>
      </w:r>
      <w:r w:rsidRPr="001960A3">
        <w:rPr>
          <w:color w:val="000000"/>
        </w:rPr>
        <w:t xml:space="preserve">Vnitřní řád Klokánku  </w:t>
      </w:r>
    </w:p>
    <w:p w14:paraId="32047B24" w14:textId="77777777" w:rsidR="000B4ACC" w:rsidRPr="001960A3" w:rsidRDefault="000B4ACC" w:rsidP="00193668">
      <w:pPr>
        <w:ind w:firstLine="708"/>
        <w:jc w:val="both"/>
        <w:rPr>
          <w:color w:val="000000"/>
        </w:rPr>
      </w:pPr>
      <w:r w:rsidRPr="001960A3">
        <w:rPr>
          <w:color w:val="000000"/>
        </w:rPr>
        <w:t>Pravidla Klokánku pro děti</w:t>
      </w:r>
    </w:p>
    <w:p w14:paraId="70F4D4E3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Vše vám osobně vysvětlíme a rádi zodpovíme vaše dotazy.</w:t>
      </w:r>
    </w:p>
    <w:p w14:paraId="7B980D3C" w14:textId="77777777" w:rsidR="000B4ACC" w:rsidRPr="001960A3" w:rsidRDefault="000B4ACC" w:rsidP="000B4ACC">
      <w:pPr>
        <w:tabs>
          <w:tab w:val="left" w:pos="720"/>
        </w:tabs>
        <w:jc w:val="both"/>
      </w:pPr>
      <w:r w:rsidRPr="001960A3">
        <w:t>Budeme rádi, když nám sdělíte okolnosti týkající se vašeho dítěte, zda je přecitlivělé na nějaké potraviny, co má rádo, co mu chutná a nechutná, čeho se bojí aj.</w:t>
      </w:r>
    </w:p>
    <w:p w14:paraId="1340B1E8" w14:textId="77777777" w:rsidR="000B4ACC" w:rsidRPr="001960A3" w:rsidRDefault="000B4ACC" w:rsidP="000B4ACC">
      <w:pPr>
        <w:tabs>
          <w:tab w:val="left" w:pos="720"/>
        </w:tabs>
        <w:jc w:val="both"/>
      </w:pPr>
      <w:r w:rsidRPr="001960A3">
        <w:t>Vašemu dítěti následně založíme spisovou dokumentaci</w:t>
      </w:r>
      <w:r>
        <w:t xml:space="preserve"> a určíme klíčovou sociální pracovnici, o které Vás budeme informovat a která bude s Vámi v bezprostředním kontaktu. </w:t>
      </w:r>
    </w:p>
    <w:p w14:paraId="33F5D58B" w14:textId="77777777" w:rsidR="000B4ACC" w:rsidRPr="001960A3" w:rsidRDefault="000B4ACC" w:rsidP="000B4ACC">
      <w:pPr>
        <w:tabs>
          <w:tab w:val="left" w:pos="720"/>
        </w:tabs>
        <w:jc w:val="both"/>
        <w:rPr>
          <w:b/>
        </w:rPr>
      </w:pPr>
      <w:r w:rsidRPr="001960A3">
        <w:rPr>
          <w:b/>
        </w:rPr>
        <w:t>U příjmu prosím sdělte sociální pracovnic</w:t>
      </w:r>
      <w:r>
        <w:rPr>
          <w:b/>
        </w:rPr>
        <w:t>i</w:t>
      </w:r>
      <w:r w:rsidRPr="001960A3">
        <w:rPr>
          <w:b/>
        </w:rPr>
        <w:t xml:space="preserve"> nebo ředitelce, případně pečující </w:t>
      </w:r>
      <w:r>
        <w:rPr>
          <w:b/>
        </w:rPr>
        <w:t>osobě</w:t>
      </w:r>
      <w:r w:rsidRPr="001960A3">
        <w:rPr>
          <w:b/>
        </w:rPr>
        <w:t>, zda Vaše dítě má s</w:t>
      </w:r>
      <w:r>
        <w:rPr>
          <w:b/>
        </w:rPr>
        <w:t xml:space="preserve"> s</w:t>
      </w:r>
      <w:r w:rsidRPr="001960A3">
        <w:rPr>
          <w:b/>
        </w:rPr>
        <w:t>ebou cenné věci, peníze, mobil, notebook, další věci…</w:t>
      </w:r>
    </w:p>
    <w:p w14:paraId="790DFB2D" w14:textId="77777777" w:rsidR="000B4ACC" w:rsidRPr="001960A3" w:rsidRDefault="000B4ACC" w:rsidP="000B4ACC">
      <w:pPr>
        <w:tabs>
          <w:tab w:val="left" w:pos="720"/>
        </w:tabs>
        <w:jc w:val="both"/>
        <w:rPr>
          <w:b/>
        </w:rPr>
      </w:pPr>
      <w:r w:rsidRPr="001960A3">
        <w:rPr>
          <w:b/>
        </w:rPr>
        <w:lastRenderedPageBreak/>
        <w:t xml:space="preserve">Upozorňujeme, že za tyto věci si dítě zodpovídá samo, a to bez ohledu na svůj věk a rozumovou vyspělost. Není v našich provozních možnostech hlídat každému dítě tyto věci, dítě je poučeno o tom, že si je může uschovat v pokoji pečující </w:t>
      </w:r>
      <w:r>
        <w:rPr>
          <w:b/>
        </w:rPr>
        <w:t>osoby, případně ve své uzamykatelné skříňce</w:t>
      </w:r>
      <w:r w:rsidRPr="001960A3">
        <w:rPr>
          <w:b/>
        </w:rPr>
        <w:t xml:space="preserve">. V případě ztráty zařízení neručí za uvedené věci, ani za ně neposkytuje náhradu. Při ztrátě postupujeme dle zákona. </w:t>
      </w:r>
    </w:p>
    <w:p w14:paraId="2869EAB4" w14:textId="77777777" w:rsidR="000B4ACC" w:rsidRPr="001960A3" w:rsidRDefault="000B4ACC" w:rsidP="000B4ACC">
      <w:pPr>
        <w:jc w:val="center"/>
        <w:rPr>
          <w:b/>
          <w:color w:val="C00000"/>
          <w:sz w:val="36"/>
        </w:rPr>
      </w:pPr>
      <w:r w:rsidRPr="001960A3">
        <w:rPr>
          <w:b/>
          <w:color w:val="C00000"/>
          <w:sz w:val="36"/>
        </w:rPr>
        <w:t>Pravidlo č. 2</w:t>
      </w:r>
    </w:p>
    <w:p w14:paraId="025DD0E3" w14:textId="77777777" w:rsidR="000B4ACC" w:rsidRPr="001960A3" w:rsidRDefault="000B4ACC" w:rsidP="000B4ACC">
      <w:pPr>
        <w:rPr>
          <w:b/>
        </w:rPr>
      </w:pPr>
      <w:r w:rsidRPr="001960A3">
        <w:rPr>
          <w:b/>
        </w:rPr>
        <w:t>Jak o Vaše dítě v Klokánku pečujeme:</w:t>
      </w:r>
    </w:p>
    <w:p w14:paraId="6423519B" w14:textId="77777777" w:rsidR="000B4ACC" w:rsidRDefault="000B4ACC" w:rsidP="000B4ACC">
      <w:pPr>
        <w:spacing w:after="120"/>
        <w:jc w:val="both"/>
      </w:pPr>
      <w:r w:rsidRPr="001960A3">
        <w:t xml:space="preserve">Děti bydlí v bytech, kde se o ně starají v týdenních intervalech týdenní </w:t>
      </w:r>
      <w:r>
        <w:t>pečující osoby (teta/strýc)</w:t>
      </w:r>
      <w:r w:rsidRPr="001960A3">
        <w:t xml:space="preserve">. Každá </w:t>
      </w:r>
      <w:r>
        <w:t>pečující osoba</w:t>
      </w:r>
      <w:r w:rsidRPr="001960A3">
        <w:t xml:space="preserve"> má na starosti 4 děti. O děti se kromě </w:t>
      </w:r>
      <w:r>
        <w:t>pečujících osob</w:t>
      </w:r>
      <w:r w:rsidRPr="001960A3">
        <w:t xml:space="preserve"> starají také: denní </w:t>
      </w:r>
      <w:r>
        <w:t>pečující osoba</w:t>
      </w:r>
      <w:r w:rsidRPr="001960A3">
        <w:t>, sociální pracovnice, ředitelka, psycholog, dětská lékařka a další odborní pracovníci dle individuální potřeby dítěte.</w:t>
      </w:r>
    </w:p>
    <w:p w14:paraId="39FE898B" w14:textId="77777777" w:rsidR="000B4ACC" w:rsidRPr="001960A3" w:rsidRDefault="000B4ACC" w:rsidP="000B4ACC">
      <w:pPr>
        <w:spacing w:after="120"/>
        <w:jc w:val="both"/>
      </w:pPr>
      <w:r>
        <w:t xml:space="preserve">Při nástupu do zařízení, s přihlédnutím k věku dítěte, si s dítětem povíme, jak jej máme oslovovat a jestli chce abychom mu tykali nebo vykali. Zařízení toto respektuje. </w:t>
      </w:r>
    </w:p>
    <w:p w14:paraId="74EF68FE" w14:textId="77777777" w:rsidR="000B4ACC" w:rsidRPr="001960A3" w:rsidRDefault="000B4ACC" w:rsidP="000B4ACC">
      <w:pPr>
        <w:spacing w:after="120"/>
        <w:jc w:val="both"/>
        <w:rPr>
          <w:b/>
        </w:rPr>
      </w:pPr>
      <w:r w:rsidRPr="001960A3">
        <w:rPr>
          <w:b/>
        </w:rPr>
        <w:t xml:space="preserve">Jak se </w:t>
      </w:r>
      <w:r>
        <w:rPr>
          <w:b/>
        </w:rPr>
        <w:t>pečující osoba</w:t>
      </w:r>
      <w:r w:rsidRPr="001960A3">
        <w:rPr>
          <w:b/>
        </w:rPr>
        <w:t xml:space="preserve"> stará o Vaše dítě:</w:t>
      </w:r>
    </w:p>
    <w:p w14:paraId="1F9BCDC3" w14:textId="77777777" w:rsidR="000B4ACC" w:rsidRPr="001960A3" w:rsidRDefault="000B4ACC" w:rsidP="000B4ACC">
      <w:pPr>
        <w:numPr>
          <w:ilvl w:val="0"/>
          <w:numId w:val="4"/>
        </w:numPr>
        <w:spacing w:before="120" w:after="0" w:line="240" w:lineRule="auto"/>
        <w:jc w:val="both"/>
      </w:pPr>
      <w:r w:rsidRPr="001960A3">
        <w:t>nacvičuje dovednosti pro zvládání péče o vlastní osobu, soběstačnosti a dalších činností vedoucích k sociálnímu začleňování,</w:t>
      </w:r>
    </w:p>
    <w:p w14:paraId="3731847D" w14:textId="77777777" w:rsidR="000B4ACC" w:rsidRPr="001960A3" w:rsidRDefault="000B4ACC" w:rsidP="000B4A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960A3">
        <w:t>zprostředkovává kontakt se společenským prostředím,</w:t>
      </w:r>
    </w:p>
    <w:p w14:paraId="01B4704D" w14:textId="77777777" w:rsidR="000B4ACC" w:rsidRPr="001960A3" w:rsidRDefault="000B4ACC" w:rsidP="000B4A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960A3">
        <w:t>provádí výchovné, vzdělávací a aktivizační činnosti,</w:t>
      </w:r>
    </w:p>
    <w:p w14:paraId="0244F8FE" w14:textId="77777777" w:rsidR="000B4ACC" w:rsidRPr="001960A3" w:rsidRDefault="000B4ACC" w:rsidP="000B4AC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</w:pPr>
      <w:r w:rsidRPr="001960A3">
        <w:t>zajišťuje stravu,</w:t>
      </w:r>
    </w:p>
    <w:p w14:paraId="2B10D289" w14:textId="77777777" w:rsidR="000B4ACC" w:rsidRPr="001960A3" w:rsidRDefault="000B4ACC" w:rsidP="000B4ACC">
      <w:pPr>
        <w:numPr>
          <w:ilvl w:val="0"/>
          <w:numId w:val="4"/>
        </w:numPr>
        <w:spacing w:after="0" w:line="240" w:lineRule="auto"/>
      </w:pPr>
      <w:r w:rsidRPr="001960A3">
        <w:t>pomáhá při osobní hygieně nebo poskytuje podmínky pro osobní hygienu,</w:t>
      </w:r>
    </w:p>
    <w:p w14:paraId="3F69AD54" w14:textId="77777777" w:rsidR="000B4ACC" w:rsidRPr="001960A3" w:rsidRDefault="000B4ACC" w:rsidP="000B4ACC">
      <w:pPr>
        <w:numPr>
          <w:ilvl w:val="0"/>
          <w:numId w:val="4"/>
        </w:numPr>
        <w:spacing w:after="0" w:line="240" w:lineRule="auto"/>
      </w:pPr>
      <w:r w:rsidRPr="001960A3">
        <w:t>pomáhá při uplatňování práv, oprávněných zájmů a při obstarávání osobních záležitostí (např. pomoc při výběru vhodného vzdělání).</w:t>
      </w:r>
    </w:p>
    <w:p w14:paraId="542B405D" w14:textId="77777777" w:rsidR="000B4ACC" w:rsidRPr="001960A3" w:rsidRDefault="000B4ACC" w:rsidP="000B4ACC"/>
    <w:p w14:paraId="1A510941" w14:textId="77777777" w:rsidR="000B4ACC" w:rsidRPr="001960A3" w:rsidRDefault="000B4ACC" w:rsidP="000B4ACC">
      <w:pPr>
        <w:jc w:val="both"/>
      </w:pPr>
      <w:r w:rsidRPr="001960A3">
        <w:rPr>
          <w:b/>
        </w:rPr>
        <w:t xml:space="preserve">Sociální pracovnice a </w:t>
      </w:r>
      <w:r>
        <w:rPr>
          <w:b/>
        </w:rPr>
        <w:t>pečující osoba</w:t>
      </w:r>
      <w:r w:rsidRPr="001960A3">
        <w:t xml:space="preserve"> s Vaším dítětem také plánuje a stanovuje cíle, kterých chce dítě dosáhnout. Toto plánování slouží k tomu, aby se dítě naučilo všemu, čemu se učí ve vlastní rodině (např. sebeobsluhu, přípravu do školy, úklid, nakupování apod.), budeme rádi, když se na plánování a realizování budete podílet i Vy. </w:t>
      </w:r>
    </w:p>
    <w:p w14:paraId="31DCB172" w14:textId="77777777" w:rsidR="000B4ACC" w:rsidRPr="001960A3" w:rsidRDefault="000B4ACC" w:rsidP="000B4ACC">
      <w:pPr>
        <w:tabs>
          <w:tab w:val="left" w:pos="720"/>
        </w:tabs>
        <w:jc w:val="both"/>
      </w:pPr>
      <w:r w:rsidRPr="001960A3">
        <w:rPr>
          <w:b/>
        </w:rPr>
        <w:t>Sociální pracovnice</w:t>
      </w:r>
      <w:r w:rsidRPr="001960A3">
        <w:t xml:space="preserve"> Vám v průběhu pobytu vašeho dítěte v Klokánku pomáhá v řešení Vaší sociální situace prostřednictvím sociálního poradenství, informuje Vás o podstatných událostech, které nastanou u dítěte v průběhu pobytu.</w:t>
      </w:r>
    </w:p>
    <w:p w14:paraId="7A902A0B" w14:textId="77777777" w:rsidR="000B4ACC" w:rsidRPr="001960A3" w:rsidRDefault="000B4ACC" w:rsidP="000B4ACC">
      <w:pPr>
        <w:tabs>
          <w:tab w:val="left" w:pos="720"/>
        </w:tabs>
        <w:jc w:val="both"/>
        <w:rPr>
          <w:b/>
        </w:rPr>
      </w:pPr>
      <w:r w:rsidRPr="001960A3">
        <w:rPr>
          <w:b/>
        </w:rPr>
        <w:t xml:space="preserve">V Klokánku můžete své dítě: </w:t>
      </w:r>
    </w:p>
    <w:p w14:paraId="07A9DAB7" w14:textId="77777777" w:rsidR="000B4ACC" w:rsidRPr="001960A3" w:rsidRDefault="000B4ACC" w:rsidP="000B4ACC">
      <w:pPr>
        <w:numPr>
          <w:ilvl w:val="0"/>
          <w:numId w:val="5"/>
        </w:numPr>
        <w:spacing w:after="0" w:line="240" w:lineRule="auto"/>
        <w:jc w:val="both"/>
      </w:pPr>
      <w:r w:rsidRPr="001960A3">
        <w:t xml:space="preserve">navštěvovat ve stanovenou dobu dle Návštěvního řádu, zpravidla od 9.00 hod. do 18.00 hod,  </w:t>
      </w:r>
    </w:p>
    <w:p w14:paraId="1A38558E" w14:textId="77777777" w:rsidR="000B4ACC" w:rsidRPr="001960A3" w:rsidRDefault="000B4ACC" w:rsidP="000B4ACC">
      <w:pPr>
        <w:numPr>
          <w:ilvl w:val="0"/>
          <w:numId w:val="5"/>
        </w:numPr>
        <w:spacing w:after="0" w:line="240" w:lineRule="auto"/>
        <w:jc w:val="both"/>
      </w:pPr>
      <w:r w:rsidRPr="001960A3">
        <w:t>nosit mu dárky,</w:t>
      </w:r>
    </w:p>
    <w:p w14:paraId="7E36EF77" w14:textId="77777777" w:rsidR="000B4ACC" w:rsidRPr="001960A3" w:rsidRDefault="000B4ACC" w:rsidP="000B4ACC">
      <w:pPr>
        <w:numPr>
          <w:ilvl w:val="0"/>
          <w:numId w:val="5"/>
        </w:numPr>
        <w:spacing w:after="0" w:line="240" w:lineRule="auto"/>
        <w:jc w:val="both"/>
      </w:pPr>
      <w:r w:rsidRPr="001960A3">
        <w:t xml:space="preserve">telefonovat mu ve stanovenou dobu s ohledem na provozní záležitosti, zpravidla od 9.00 do 18.00 hod, </w:t>
      </w:r>
      <w:r>
        <w:t>(pokud Vám pečující osoba telefon nemůže z důvodu naléhavé péče o dítě telefon zvednout, zavolá Vám v nejbližším možném čase zpět),</w:t>
      </w:r>
    </w:p>
    <w:p w14:paraId="1C8DA1FE" w14:textId="77777777" w:rsidR="000B4ACC" w:rsidRPr="001960A3" w:rsidRDefault="000B4ACC" w:rsidP="000B4ACC">
      <w:pPr>
        <w:numPr>
          <w:ilvl w:val="0"/>
          <w:numId w:val="5"/>
        </w:numPr>
        <w:spacing w:after="0" w:line="240" w:lineRule="auto"/>
        <w:jc w:val="both"/>
      </w:pPr>
      <w:r w:rsidRPr="001960A3">
        <w:t xml:space="preserve">psát dopisy, pohledy, </w:t>
      </w:r>
    </w:p>
    <w:p w14:paraId="008C4732" w14:textId="77777777" w:rsidR="000B4ACC" w:rsidRPr="001960A3" w:rsidRDefault="000B4ACC" w:rsidP="000B4ACC">
      <w:pPr>
        <w:numPr>
          <w:ilvl w:val="0"/>
          <w:numId w:val="5"/>
        </w:numPr>
        <w:spacing w:after="0" w:line="240" w:lineRule="auto"/>
        <w:jc w:val="both"/>
      </w:pPr>
      <w:r w:rsidRPr="001960A3">
        <w:t>posílat balíčky.</w:t>
      </w:r>
    </w:p>
    <w:p w14:paraId="20940C4D" w14:textId="77777777" w:rsidR="000B4ACC" w:rsidRDefault="000B4ACC" w:rsidP="000B4ACC">
      <w:pPr>
        <w:jc w:val="both"/>
      </w:pPr>
    </w:p>
    <w:p w14:paraId="6AA8B638" w14:textId="77777777" w:rsidR="000B4ACC" w:rsidRPr="001960A3" w:rsidRDefault="000B4ACC" w:rsidP="000B4ACC">
      <w:pPr>
        <w:rPr>
          <w:b/>
        </w:rPr>
      </w:pPr>
      <w:r w:rsidRPr="001960A3">
        <w:rPr>
          <w:b/>
        </w:rPr>
        <w:t>V čem nám můžete pomoci:</w:t>
      </w:r>
    </w:p>
    <w:p w14:paraId="65637C4A" w14:textId="77777777" w:rsidR="000B4ACC" w:rsidRPr="001960A3" w:rsidRDefault="000B4ACC" w:rsidP="000B4A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jc w:val="both"/>
      </w:pPr>
      <w:r w:rsidRPr="001960A3">
        <w:lastRenderedPageBreak/>
        <w:t>řešit svou situaci ku prospěchu dítěte, sdělovat nám řešení své situace a tím urychlit návrat Vašeho dítěte zpět do rodiny,</w:t>
      </w:r>
    </w:p>
    <w:p w14:paraId="34A4014B" w14:textId="77777777" w:rsidR="000B4ACC" w:rsidRPr="001960A3" w:rsidRDefault="000B4ACC" w:rsidP="000B4A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jc w:val="both"/>
      </w:pPr>
      <w:r w:rsidRPr="001960A3">
        <w:t>dle možnosti jevit o své dítě zájem (dítě navštěvovat, spolupracovat na individuálním plánu),</w:t>
      </w:r>
    </w:p>
    <w:p w14:paraId="12D26EFE" w14:textId="77777777" w:rsidR="000B4ACC" w:rsidRPr="001960A3" w:rsidRDefault="000B4ACC" w:rsidP="000B4A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  <w:jc w:val="both"/>
      </w:pPr>
      <w:r w:rsidRPr="001960A3">
        <w:t>nevynucovat si kontakt s dítětem, pokud dítě nechce, je potřeba vyčkat, je nutné na zlepšení situace pracovat (společně s </w:t>
      </w:r>
      <w:r>
        <w:t>pečující osobou</w:t>
      </w:r>
      <w:r w:rsidRPr="001960A3">
        <w:t>, sociálním pracovníkem, případně využít odborníky – psychologa zařízení),</w:t>
      </w:r>
    </w:p>
    <w:p w14:paraId="2DF8CA76" w14:textId="77777777" w:rsidR="000B4ACC" w:rsidRPr="001960A3" w:rsidRDefault="000B4ACC" w:rsidP="000B4ACC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/>
      </w:pPr>
      <w:r w:rsidRPr="001960A3">
        <w:t>být nám nápomocni při zvládání výchovných problémů (ve spolupráci s tetou).</w:t>
      </w:r>
    </w:p>
    <w:p w14:paraId="3C7BCF95" w14:textId="77777777" w:rsidR="000B4ACC" w:rsidRDefault="000B4ACC" w:rsidP="000B4ACC">
      <w:pPr>
        <w:shd w:val="clear" w:color="auto" w:fill="FFFFFF"/>
        <w:jc w:val="both"/>
      </w:pPr>
    </w:p>
    <w:p w14:paraId="74D7623D" w14:textId="77777777" w:rsidR="000B4ACC" w:rsidRPr="001960A3" w:rsidRDefault="000B4ACC" w:rsidP="000B4ACC">
      <w:pPr>
        <w:shd w:val="clear" w:color="auto" w:fill="FFFFFF"/>
        <w:jc w:val="both"/>
      </w:pPr>
      <w:r w:rsidRPr="001960A3">
        <w:t>V průběhu pobytu dítěte v Klokánku jsou pracovníci za Vaše dítě plně zodpovědní, proto dítě mladší 12-ti let může opustit Klokánek pouze v doprovodu dospělé osoby. V zájmu ochrany jeho zdraví a života je toto omezení nutné. V případě podezření na požití alkoholu nebo jiných návykových látek má Klokánek povinnost kontaktovat lékaře</w:t>
      </w:r>
      <w:r>
        <w:t xml:space="preserve"> případně Policii ČR</w:t>
      </w:r>
      <w:r w:rsidRPr="001960A3">
        <w:t>.</w:t>
      </w:r>
      <w:r>
        <w:t xml:space="preserve"> Se souhlasem nezletilého může test na alkohol případně užití jiných návykových látek provést sociální pracovník nebo ředitelka zařízení. </w:t>
      </w:r>
      <w:r w:rsidRPr="001960A3">
        <w:t xml:space="preserve"> </w:t>
      </w:r>
    </w:p>
    <w:p w14:paraId="05E0B992" w14:textId="77777777" w:rsidR="000B4ACC" w:rsidRPr="001960A3" w:rsidRDefault="000B4ACC" w:rsidP="000B4ACC">
      <w:pPr>
        <w:spacing w:afterLines="120" w:after="288"/>
        <w:jc w:val="center"/>
        <w:rPr>
          <w:b/>
          <w:color w:val="C00000"/>
          <w:sz w:val="36"/>
        </w:rPr>
      </w:pPr>
      <w:r w:rsidRPr="001960A3">
        <w:rPr>
          <w:b/>
          <w:color w:val="C00000"/>
          <w:sz w:val="36"/>
        </w:rPr>
        <w:t>Pravidlo č. 3</w:t>
      </w:r>
    </w:p>
    <w:p w14:paraId="193BCFD0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 xml:space="preserve">Pokud se rozhodnete dítě v Klokánku navštívit, přečtěte si </w:t>
      </w:r>
    </w:p>
    <w:p w14:paraId="26A013C3" w14:textId="77777777" w:rsidR="000B4ACC" w:rsidRPr="001960A3" w:rsidRDefault="000B4ACC" w:rsidP="000B4ACC">
      <w:pPr>
        <w:rPr>
          <w:b/>
          <w:color w:val="FF0000"/>
          <w:u w:val="single"/>
        </w:rPr>
      </w:pPr>
      <w:r w:rsidRPr="001960A3">
        <w:rPr>
          <w:b/>
          <w:color w:val="FF0000"/>
          <w:u w:val="single"/>
        </w:rPr>
        <w:t>Návštěvní řád</w:t>
      </w:r>
    </w:p>
    <w:p w14:paraId="6622F854" w14:textId="77777777" w:rsidR="000B4ACC" w:rsidRPr="001960A3" w:rsidRDefault="000B4ACC" w:rsidP="000B4ACC">
      <w:pPr>
        <w:suppressAutoHyphens/>
        <w:jc w:val="both"/>
      </w:pPr>
      <w:r w:rsidRPr="001960A3">
        <w:t>Ve všech prostorách Klokánku a v celém jeho areálu platí zákaz kouření a užívání návykových látek (drogy, alkohol).</w:t>
      </w:r>
    </w:p>
    <w:p w14:paraId="669D9C35" w14:textId="77777777" w:rsidR="000B4ACC" w:rsidRPr="001960A3" w:rsidRDefault="000B4ACC" w:rsidP="000B4ACC">
      <w:pPr>
        <w:jc w:val="both"/>
      </w:pPr>
      <w:r w:rsidRPr="001960A3">
        <w:t>Návštěvy v Klokánku jsou povoleny každý den od 9:00 hod. do 18:00 hod. (v rámci tohoto času je nutné, aby návštěva dodržovala denní režim dětí – tj. doba oběda, polední spaní malých dětí aj.), ve výjimečných případech je možné povolit výjimku mimo stanovený čas.</w:t>
      </w:r>
    </w:p>
    <w:p w14:paraId="477E9A75" w14:textId="77777777" w:rsidR="000B4ACC" w:rsidRPr="001960A3" w:rsidRDefault="000B4ACC" w:rsidP="000B4ACC">
      <w:pPr>
        <w:jc w:val="both"/>
      </w:pPr>
      <w:r w:rsidRPr="001960A3">
        <w:t>Návštěvě je doporučeno ohlásit se den předem, aby se předešlo tomu, že bude dítě mimo Klokánek, pokud by jej návštěva navštívila neohlášeně (</w:t>
      </w:r>
      <w:r>
        <w:t>pečující osoba</w:t>
      </w:r>
      <w:r w:rsidRPr="001960A3">
        <w:t xml:space="preserve"> může mít s dětmi již zajištěný program mimo zařízení, či z důvodů péče o ostatní děti se návštěvě nebude moci věnovat).</w:t>
      </w:r>
    </w:p>
    <w:p w14:paraId="5EF86859" w14:textId="77777777" w:rsidR="000B4ACC" w:rsidRPr="001960A3" w:rsidRDefault="000B4ACC" w:rsidP="000B4ACC">
      <w:pPr>
        <w:jc w:val="both"/>
      </w:pPr>
      <w:r w:rsidRPr="001960A3">
        <w:t xml:space="preserve">Návštěvy mohou probíhat v návštěvní místnosti, venku na zahradě nebo mimo areál Klokánku. </w:t>
      </w:r>
    </w:p>
    <w:p w14:paraId="7AC8031B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>Návštěva není povolena těm osobám, které pravomocným rozhodnutím soudu mají určen zákaz styku s dítětem.</w:t>
      </w:r>
    </w:p>
    <w:p w14:paraId="662C2EC6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 xml:space="preserve">Návštěva se neuskuteční v případě, že dítě si návštěvu nepřeje. </w:t>
      </w:r>
    </w:p>
    <w:p w14:paraId="480B4775" w14:textId="77777777" w:rsidR="000B4ACC" w:rsidRPr="00F1651A" w:rsidRDefault="000B4ACC" w:rsidP="000B4ACC">
      <w:pPr>
        <w:spacing w:after="0" w:line="240" w:lineRule="auto"/>
        <w:jc w:val="both"/>
        <w:rPr>
          <w:rFonts w:ascii="Times New Roman" w:hAnsi="Times New Roman"/>
        </w:rPr>
      </w:pPr>
      <w:r w:rsidRPr="00F1651A">
        <w:rPr>
          <w:rFonts w:ascii="Times New Roman" w:hAnsi="Times New Roman"/>
        </w:rPr>
        <w:t xml:space="preserve">Návštěva je povinna se vždy při příchodu do Klokánku prokázat průkazem totožnosti a podepsat při příchodu a odchodu Dohodu o návštěvě dítěte, kterou obdrží od pečující tety ve dvojím vyhotovení, jedna je určena pro spisovou dokumentaci dítěte v Klokánku a druhá je určena pro osobu, která dítě navštívila. </w:t>
      </w:r>
    </w:p>
    <w:p w14:paraId="73C13210" w14:textId="77777777" w:rsidR="000B4ACC" w:rsidRDefault="000B4ACC" w:rsidP="000B4ACC">
      <w:pPr>
        <w:jc w:val="both"/>
      </w:pPr>
    </w:p>
    <w:p w14:paraId="55AA727E" w14:textId="77777777" w:rsidR="000B4ACC" w:rsidRPr="001960A3" w:rsidRDefault="000B4ACC" w:rsidP="000B4ACC">
      <w:pPr>
        <w:jc w:val="both"/>
      </w:pPr>
      <w:r w:rsidRPr="001960A3">
        <w:t xml:space="preserve">Na Štědrý den (24. 12.) se návštěva odvíjí na základě individuální dohody, zpravidla v době od 8:00 hod. do 15:00 hod. (návštěvní hodiny jsou zkráceny z důvodů přípravy </w:t>
      </w:r>
      <w:r>
        <w:t>pečující osoby</w:t>
      </w:r>
      <w:r w:rsidRPr="001960A3">
        <w:t xml:space="preserve"> a dětí na štědrovečerní večeři a atmosféru Vánoc), i v těchto případech jsou možné výjimky, které je potřeba zkonzultovat s ředitelkou zařízení nebo pověřenou osobou.</w:t>
      </w:r>
    </w:p>
    <w:p w14:paraId="06F72E28" w14:textId="77777777" w:rsidR="000B4ACC" w:rsidRPr="001960A3" w:rsidRDefault="000B4ACC" w:rsidP="000B4ACC">
      <w:pPr>
        <w:pStyle w:val="Zkladntext"/>
        <w:rPr>
          <w:b w:val="0"/>
        </w:rPr>
      </w:pPr>
    </w:p>
    <w:p w14:paraId="53B27AF7" w14:textId="77777777" w:rsidR="000B4ACC" w:rsidRDefault="000B4ACC" w:rsidP="000B4ACC">
      <w:pPr>
        <w:pStyle w:val="Zkladntex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Návštěva v Klokánku respektuje pravidla slušného chování.</w:t>
      </w:r>
    </w:p>
    <w:p w14:paraId="012425AF" w14:textId="77777777" w:rsidR="000B4ACC" w:rsidRDefault="000B4ACC" w:rsidP="000B4ACC">
      <w:pPr>
        <w:jc w:val="both"/>
        <w:rPr>
          <w:b/>
        </w:rPr>
      </w:pPr>
    </w:p>
    <w:p w14:paraId="62C656C8" w14:textId="77777777" w:rsidR="000B4ACC" w:rsidRPr="001960A3" w:rsidRDefault="000B4ACC" w:rsidP="000B4ACC">
      <w:pPr>
        <w:jc w:val="both"/>
      </w:pPr>
      <w:r w:rsidRPr="001960A3">
        <w:rPr>
          <w:b/>
        </w:rPr>
        <w:t>Návštěva se neuskuteční, pokud osoba, která chce dítě navštívit, není schopna jednat:</w:t>
      </w:r>
    </w:p>
    <w:p w14:paraId="6DFC16F0" w14:textId="77777777" w:rsidR="000B4ACC" w:rsidRPr="00CD116C" w:rsidRDefault="000B4ACC" w:rsidP="000B4ACC">
      <w:pPr>
        <w:numPr>
          <w:ilvl w:val="0"/>
          <w:numId w:val="12"/>
        </w:numPr>
        <w:spacing w:after="0" w:line="240" w:lineRule="auto"/>
        <w:jc w:val="both"/>
      </w:pPr>
      <w:r w:rsidRPr="001960A3">
        <w:t xml:space="preserve">je pod vlivem alkoholu, návykových látek, </w:t>
      </w:r>
      <w:r>
        <w:t>(je třeba toto vypozorovat z chování návštěvy, například komolená řeč, nestabilita, agresivní chování, špatná gestikulace apod.)</w:t>
      </w:r>
    </w:p>
    <w:p w14:paraId="7B08EA26" w14:textId="77777777" w:rsidR="000B4ACC" w:rsidRPr="001960A3" w:rsidRDefault="000B4ACC" w:rsidP="000B4ACC">
      <w:pPr>
        <w:numPr>
          <w:ilvl w:val="0"/>
          <w:numId w:val="9"/>
        </w:numPr>
        <w:spacing w:after="0" w:line="240" w:lineRule="auto"/>
        <w:jc w:val="both"/>
      </w:pPr>
      <w:r w:rsidRPr="001960A3">
        <w:t>pro agresivním jednání - fyzické či slovní napadání kohokoliv v zařízení.</w:t>
      </w:r>
    </w:p>
    <w:p w14:paraId="200BA27A" w14:textId="77777777" w:rsidR="000B4ACC" w:rsidRPr="001960A3" w:rsidRDefault="000B4ACC" w:rsidP="000B4ACC">
      <w:pPr>
        <w:jc w:val="both"/>
      </w:pPr>
    </w:p>
    <w:p w14:paraId="7964E0BB" w14:textId="77777777" w:rsidR="000B4ACC" w:rsidRPr="001960A3" w:rsidRDefault="000B4ACC" w:rsidP="000B4ACC">
      <w:pPr>
        <w:jc w:val="both"/>
        <w:rPr>
          <w:b/>
        </w:rPr>
      </w:pPr>
      <w:r w:rsidRPr="001960A3">
        <w:rPr>
          <w:b/>
        </w:rPr>
        <w:t xml:space="preserve">Návštěva může být odmítnuta z rozhodnutí ředitelky Klokánku nebo </w:t>
      </w:r>
      <w:r>
        <w:rPr>
          <w:b/>
        </w:rPr>
        <w:t>jí pověřené osoby</w:t>
      </w:r>
      <w:r w:rsidRPr="001960A3">
        <w:rPr>
          <w:b/>
        </w:rPr>
        <w:t xml:space="preserve">, a to z těchto vážných důvodů: </w:t>
      </w:r>
    </w:p>
    <w:p w14:paraId="2E0E71E7" w14:textId="77777777" w:rsidR="000B4ACC" w:rsidRPr="001960A3" w:rsidRDefault="000B4ACC" w:rsidP="000B4ACC">
      <w:pPr>
        <w:numPr>
          <w:ilvl w:val="0"/>
          <w:numId w:val="10"/>
        </w:numPr>
        <w:spacing w:after="0" w:line="240" w:lineRule="auto"/>
      </w:pPr>
      <w:r w:rsidRPr="001960A3">
        <w:t>evakuace dětí (požár, únik nebezpečných látek apod.),</w:t>
      </w:r>
    </w:p>
    <w:p w14:paraId="7B346A14" w14:textId="77777777" w:rsidR="000B4ACC" w:rsidRPr="001960A3" w:rsidRDefault="000B4ACC" w:rsidP="000B4ACC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1960A3">
        <w:t>karanténa nařízena hygienikem KHS</w:t>
      </w:r>
    </w:p>
    <w:p w14:paraId="24D68631" w14:textId="77777777" w:rsidR="000B4ACC" w:rsidRPr="001960A3" w:rsidRDefault="000B4ACC" w:rsidP="000B4ACC">
      <w:pPr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1960A3">
        <w:t>infekční onemocnění osoby, která chce dítě navštívit</w:t>
      </w:r>
    </w:p>
    <w:p w14:paraId="54E6C244" w14:textId="77777777" w:rsidR="000B4ACC" w:rsidRPr="001960A3" w:rsidRDefault="000B4ACC" w:rsidP="000B4ACC">
      <w:pPr>
        <w:jc w:val="both"/>
      </w:pPr>
    </w:p>
    <w:p w14:paraId="33B79AF2" w14:textId="77777777" w:rsidR="000B4ACC" w:rsidRPr="001960A3" w:rsidRDefault="000B4ACC" w:rsidP="000B4ACC">
      <w:pPr>
        <w:jc w:val="both"/>
        <w:rPr>
          <w:b/>
          <w:color w:val="FF0000"/>
          <w:u w:val="single"/>
        </w:rPr>
      </w:pPr>
      <w:r w:rsidRPr="001960A3">
        <w:rPr>
          <w:b/>
          <w:color w:val="FF0000"/>
          <w:u w:val="single"/>
        </w:rPr>
        <w:t>Vycházky dětí:</w:t>
      </w:r>
    </w:p>
    <w:p w14:paraId="25C01380" w14:textId="1C101434" w:rsidR="000B4ACC" w:rsidRPr="001960A3" w:rsidRDefault="000B4ACC" w:rsidP="000B4ACC">
      <w:pPr>
        <w:numPr>
          <w:ilvl w:val="0"/>
          <w:numId w:val="8"/>
        </w:numPr>
        <w:spacing w:after="0" w:line="240" w:lineRule="auto"/>
        <w:jc w:val="both"/>
      </w:pPr>
      <w:r w:rsidRPr="001960A3">
        <w:t xml:space="preserve">děti starší </w:t>
      </w:r>
      <w:r w:rsidR="00F1651A">
        <w:t>10</w:t>
      </w:r>
      <w:r w:rsidRPr="001960A3">
        <w:t xml:space="preserve">-ti let mají v zařízení povoleny vycházky mimo areál zařízení bez doprovodu dospělé osoby, pokud tomuto odpovídá </w:t>
      </w:r>
      <w:r>
        <w:t xml:space="preserve">jejich </w:t>
      </w:r>
      <w:r w:rsidRPr="001960A3">
        <w:t>aktuální zdravotní, psychický a mentální stav dítěte</w:t>
      </w:r>
      <w:r>
        <w:t xml:space="preserve">. </w:t>
      </w:r>
    </w:p>
    <w:p w14:paraId="54B8EA51" w14:textId="77777777" w:rsidR="000B4ACC" w:rsidRPr="001960A3" w:rsidRDefault="000B4ACC" w:rsidP="000B4ACC">
      <w:pPr>
        <w:numPr>
          <w:ilvl w:val="0"/>
          <w:numId w:val="8"/>
        </w:numPr>
        <w:spacing w:after="0" w:line="240" w:lineRule="auto"/>
        <w:jc w:val="both"/>
        <w:rPr>
          <w:b/>
          <w:color w:val="000000"/>
        </w:rPr>
      </w:pPr>
      <w:r w:rsidRPr="001960A3">
        <w:rPr>
          <w:b/>
        </w:rPr>
        <w:t xml:space="preserve">v případě, že zákonný zástupce nebo jiná osoba odpovědná za výchovu má důvody k omezení nebo zákazu vycházek musí toto písemně uvést do </w:t>
      </w:r>
      <w:r>
        <w:rPr>
          <w:b/>
        </w:rPr>
        <w:t>Smlouvy</w:t>
      </w:r>
      <w:r w:rsidRPr="001960A3">
        <w:rPr>
          <w:b/>
        </w:rPr>
        <w:t xml:space="preserve">. Důvody musí být </w:t>
      </w:r>
      <w:r w:rsidRPr="001960A3">
        <w:rPr>
          <w:b/>
          <w:u w:val="single"/>
        </w:rPr>
        <w:t>opodstatněné</w:t>
      </w:r>
      <w:r w:rsidRPr="001960A3">
        <w:rPr>
          <w:b/>
        </w:rPr>
        <w:t xml:space="preserve">, </w:t>
      </w:r>
      <w:r w:rsidRPr="001960A3">
        <w:rPr>
          <w:b/>
          <w:color w:val="000000"/>
        </w:rPr>
        <w:t>nelze dítě omezovat na právech z důvodu výchovných problémů, neboť ZDVOP nemá k tomuto zákonné oprávnění, není svým charakterem a povahou zařízení, které prioritně řeší výchovné problémy dětí.</w:t>
      </w:r>
      <w:r>
        <w:rPr>
          <w:b/>
          <w:color w:val="000000"/>
        </w:rPr>
        <w:t xml:space="preserve"> Jediná možnost tohoto omezení je nařízení soudem tohoto omezení – usnesením, předběžným opatřením. </w:t>
      </w:r>
    </w:p>
    <w:p w14:paraId="550216F1" w14:textId="77777777" w:rsidR="000B4ACC" w:rsidRPr="001960A3" w:rsidRDefault="000B4ACC" w:rsidP="000B4ACC">
      <w:pPr>
        <w:jc w:val="both"/>
        <w:rPr>
          <w:b/>
        </w:rPr>
      </w:pPr>
    </w:p>
    <w:p w14:paraId="4C36FC82" w14:textId="77777777" w:rsidR="000B4ACC" w:rsidRPr="001960A3" w:rsidRDefault="000B4ACC" w:rsidP="000B4ACC">
      <w:pPr>
        <w:rPr>
          <w:b/>
          <w:color w:val="FF0000"/>
          <w:u w:val="single"/>
        </w:rPr>
      </w:pPr>
      <w:r w:rsidRPr="001960A3">
        <w:rPr>
          <w:b/>
          <w:color w:val="FF0000"/>
          <w:u w:val="single"/>
        </w:rPr>
        <w:t>Přechodné pobyty (dovolenky):</w:t>
      </w:r>
    </w:p>
    <w:p w14:paraId="7481E2B6" w14:textId="77777777" w:rsidR="000B4ACC" w:rsidRPr="001960A3" w:rsidRDefault="000B4ACC" w:rsidP="000B4ACC">
      <w:pPr>
        <w:jc w:val="both"/>
      </w:pPr>
      <w:r w:rsidRPr="001960A3">
        <w:t xml:space="preserve">Přechodný pobyt je doba, kterou dítě stráví s žadatelem o </w:t>
      </w:r>
      <w:r>
        <w:t>přechodný pobyt</w:t>
      </w:r>
      <w:r w:rsidRPr="001960A3">
        <w:t xml:space="preserve"> mimo zařízení přes noc.</w:t>
      </w:r>
    </w:p>
    <w:p w14:paraId="35E35801" w14:textId="77777777" w:rsidR="000B4ACC" w:rsidRPr="001960A3" w:rsidRDefault="000B4ACC" w:rsidP="000B4ACC">
      <w:pPr>
        <w:jc w:val="both"/>
      </w:pPr>
      <w:r w:rsidRPr="001960A3">
        <w:t xml:space="preserve">Zákonný zástupce, jiná osoba odpovědná za výchovu, příbuzenská osoba nebo osoba, ke které má dítě určitý vztah, písemně požádá Klokánek o přechodný pobyt dítěte. Žádost musí obsahovat identifikační údaje žadatele, vztah k dítěti, místo pobytu v době přechodného pobytu, doba pobytu, podpis, datum. </w:t>
      </w:r>
    </w:p>
    <w:p w14:paraId="6DB3E9D0" w14:textId="77777777" w:rsidR="000B4ACC" w:rsidRPr="001960A3" w:rsidRDefault="000B4ACC" w:rsidP="000B4ACC">
      <w:pPr>
        <w:jc w:val="both"/>
      </w:pPr>
      <w:r w:rsidRPr="001960A3">
        <w:t xml:space="preserve">Klokánek žádost o </w:t>
      </w:r>
      <w:r>
        <w:t>přechodný pobyt</w:t>
      </w:r>
      <w:r w:rsidRPr="001960A3">
        <w:t xml:space="preserve"> vyřídí dle zákona, dle právního titulu umístění. </w:t>
      </w:r>
    </w:p>
    <w:p w14:paraId="2A1DCD65" w14:textId="77777777" w:rsidR="000B4ACC" w:rsidRDefault="000B4ACC" w:rsidP="000B4ACC">
      <w:pPr>
        <w:jc w:val="both"/>
      </w:pPr>
      <w:r w:rsidRPr="001960A3">
        <w:t>Pokud o přechodný pobyt žádá osoba jiná než, která uzavřela Dohodu, musí dát osoba, která sjednala dohodu, písemný souhlas s tímto pobytem.</w:t>
      </w:r>
    </w:p>
    <w:p w14:paraId="545D66D8" w14:textId="77777777" w:rsidR="000B4ACC" w:rsidRPr="001960A3" w:rsidRDefault="000B4ACC" w:rsidP="000B4ACC">
      <w:pPr>
        <w:jc w:val="both"/>
      </w:pPr>
    </w:p>
    <w:p w14:paraId="1E3F4D6E" w14:textId="77777777" w:rsidR="000B4ACC" w:rsidRPr="001960A3" w:rsidRDefault="000B4ACC" w:rsidP="000B4ACC">
      <w:r w:rsidRPr="001960A3">
        <w:rPr>
          <w:b/>
          <w:color w:val="FF0000"/>
          <w:u w:val="single"/>
        </w:rPr>
        <w:t>Úhrada nákladů za poskytnutí ochrany a pomoci dítěti v Klokánku</w:t>
      </w:r>
      <w:r w:rsidRPr="001960A3">
        <w:t xml:space="preserve"> </w:t>
      </w:r>
    </w:p>
    <w:p w14:paraId="7D8A2A15" w14:textId="77777777" w:rsidR="000B4ACC" w:rsidRPr="001960A3" w:rsidRDefault="000B4ACC" w:rsidP="000B4ACC">
      <w:pPr>
        <w:numPr>
          <w:ilvl w:val="1"/>
          <w:numId w:val="11"/>
        </w:numPr>
        <w:spacing w:after="0" w:line="240" w:lineRule="auto"/>
        <w:ind w:left="414" w:right="57" w:hanging="357"/>
        <w:jc w:val="both"/>
      </w:pPr>
      <w:r w:rsidRPr="001960A3">
        <w:rPr>
          <w:b/>
        </w:rPr>
        <w:t>pobyt na základě Smlouvy</w:t>
      </w:r>
      <w:r w:rsidRPr="001960A3">
        <w:t xml:space="preserve"> viz. Smlouva odst.: V. nebo </w:t>
      </w:r>
      <w:r>
        <w:t xml:space="preserve">Smlouva o úhradě </w:t>
      </w:r>
      <w:r w:rsidRPr="001960A3">
        <w:t>dle § 42</w:t>
      </w:r>
      <w:r>
        <w:t>b-e</w:t>
      </w:r>
      <w:r w:rsidRPr="001960A3">
        <w:t xml:space="preserve"> zákona o 359/1999 Sb., o sociálně-právní ochraně dětí ve znění pozdějších předpisů</w:t>
      </w:r>
      <w:r>
        <w:t xml:space="preserve"> a</w:t>
      </w:r>
      <w:r w:rsidRPr="001960A3">
        <w:t xml:space="preserve"> § 5b vyhlášky č. 473/2012 Sb, ve znění pozdějších předpisů </w:t>
      </w:r>
    </w:p>
    <w:p w14:paraId="387D5F84" w14:textId="77777777" w:rsidR="000B4ACC" w:rsidRPr="001960A3" w:rsidRDefault="000B4ACC" w:rsidP="000B4ACC">
      <w:pPr>
        <w:numPr>
          <w:ilvl w:val="1"/>
          <w:numId w:val="11"/>
        </w:numPr>
        <w:spacing w:after="0" w:line="240" w:lineRule="auto"/>
        <w:ind w:left="414" w:right="57" w:hanging="357"/>
        <w:jc w:val="both"/>
      </w:pPr>
      <w:r w:rsidRPr="001960A3">
        <w:rPr>
          <w:b/>
        </w:rPr>
        <w:t>pobyt na základě soudního rozhodnutí</w:t>
      </w:r>
      <w:r w:rsidRPr="001960A3">
        <w:t xml:space="preserve">: </w:t>
      </w:r>
      <w:r>
        <w:t xml:space="preserve">viz. Smlouva o úhradě </w:t>
      </w:r>
      <w:r w:rsidRPr="001960A3">
        <w:t>dle § 42b-e zákona  359/1999 Sb., o sociálně-právní ochraně dětí ve znění pozdějších předpisů</w:t>
      </w:r>
      <w:r>
        <w:t xml:space="preserve"> a</w:t>
      </w:r>
      <w:r w:rsidRPr="001960A3">
        <w:t xml:space="preserve"> § 5b vyhlášky č. 473/2012 Sb, ve znění pozdějších předpisů  </w:t>
      </w:r>
    </w:p>
    <w:p w14:paraId="3CC61668" w14:textId="77777777" w:rsidR="000B4ACC" w:rsidRDefault="000B4ACC" w:rsidP="000B4ACC">
      <w:pPr>
        <w:ind w:left="720"/>
        <w:jc w:val="both"/>
      </w:pPr>
    </w:p>
    <w:p w14:paraId="16566A40" w14:textId="77777777" w:rsidR="000B4ACC" w:rsidRPr="001960A3" w:rsidRDefault="000B4ACC" w:rsidP="000B4ACC">
      <w:pPr>
        <w:jc w:val="center"/>
        <w:rPr>
          <w:b/>
          <w:color w:val="C00000"/>
          <w:sz w:val="36"/>
        </w:rPr>
      </w:pPr>
      <w:r w:rsidRPr="001960A3">
        <w:rPr>
          <w:b/>
          <w:color w:val="C00000"/>
          <w:sz w:val="36"/>
        </w:rPr>
        <w:lastRenderedPageBreak/>
        <w:t>Pravidlo č. 4</w:t>
      </w:r>
    </w:p>
    <w:p w14:paraId="0C36E442" w14:textId="77777777" w:rsidR="000B4ACC" w:rsidRPr="001960A3" w:rsidRDefault="000B4ACC" w:rsidP="000B4ACC">
      <w:pPr>
        <w:rPr>
          <w:b/>
          <w:color w:val="C00000"/>
          <w:u w:val="single"/>
        </w:rPr>
      </w:pPr>
      <w:r w:rsidRPr="001960A3">
        <w:rPr>
          <w:b/>
          <w:color w:val="C00000"/>
          <w:u w:val="single"/>
        </w:rPr>
        <w:t>Ukončení pobytu v Klokánku</w:t>
      </w:r>
    </w:p>
    <w:p w14:paraId="30DF64A3" w14:textId="77777777" w:rsidR="000B4ACC" w:rsidRPr="001960A3" w:rsidRDefault="000B4ACC" w:rsidP="000B4ACC">
      <w:pPr>
        <w:rPr>
          <w:b/>
        </w:rPr>
      </w:pPr>
      <w:r w:rsidRPr="001960A3">
        <w:rPr>
          <w:b/>
        </w:rPr>
        <w:t>Důvody k ukončení:</w:t>
      </w:r>
    </w:p>
    <w:p w14:paraId="05247E96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  <w:jc w:val="both"/>
      </w:pPr>
      <w:r w:rsidRPr="001960A3">
        <w:t>žádost dítěte, zákonného zástupce nebo jiné osoby odpovědné za výchovu,</w:t>
      </w:r>
    </w:p>
    <w:p w14:paraId="6418EAE6" w14:textId="77777777" w:rsidR="000B4ACC" w:rsidRDefault="000B4ACC" w:rsidP="000B4ACC">
      <w:pPr>
        <w:numPr>
          <w:ilvl w:val="0"/>
          <w:numId w:val="7"/>
        </w:numPr>
        <w:spacing w:after="0" w:line="240" w:lineRule="auto"/>
        <w:jc w:val="both"/>
      </w:pPr>
      <w:r w:rsidRPr="001960A3">
        <w:t>zletilost,</w:t>
      </w:r>
    </w:p>
    <w:p w14:paraId="2AF8726A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  <w:jc w:val="both"/>
      </w:pPr>
      <w:r>
        <w:t>pominutí důvodů pobytu v Klokánku,</w:t>
      </w:r>
    </w:p>
    <w:p w14:paraId="184A25D3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</w:pPr>
      <w:r w:rsidRPr="001960A3">
        <w:t>soudní rozhodnutí,</w:t>
      </w:r>
    </w:p>
    <w:p w14:paraId="6F99D6E8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</w:pPr>
      <w:r w:rsidRPr="001960A3">
        <w:t>správní rozhodnutí,</w:t>
      </w:r>
    </w:p>
    <w:p w14:paraId="7BD67884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</w:pPr>
      <w:r w:rsidRPr="001960A3">
        <w:t>u pobytu na základě Smlouvy dle odst. VIII. –  ukončení pobytu.</w:t>
      </w:r>
    </w:p>
    <w:p w14:paraId="6DDA5211" w14:textId="77777777" w:rsidR="000B4ACC" w:rsidRPr="001960A3" w:rsidRDefault="000B4ACC" w:rsidP="000B4ACC">
      <w:pPr>
        <w:numPr>
          <w:ilvl w:val="0"/>
          <w:numId w:val="7"/>
        </w:numPr>
        <w:spacing w:after="0" w:line="240" w:lineRule="auto"/>
        <w:jc w:val="both"/>
      </w:pPr>
      <w:r>
        <w:t xml:space="preserve">u pobytu na základě Smlouvy - </w:t>
      </w:r>
      <w:r w:rsidRPr="001960A3">
        <w:t xml:space="preserve">vyslovení nesouhlasu </w:t>
      </w:r>
      <w:r>
        <w:t xml:space="preserve">s pobytem </w:t>
      </w:r>
      <w:r w:rsidRPr="001960A3">
        <w:t>ze strany OSPOD dle §16b zákona o 359/1999 Sb., o sociálně-právní ochraně dětí ve znění pozdějších předpisů</w:t>
      </w:r>
    </w:p>
    <w:p w14:paraId="6B8B4897" w14:textId="77777777" w:rsidR="000B4ACC" w:rsidRPr="001960A3" w:rsidRDefault="000B4ACC" w:rsidP="000B4ACC"/>
    <w:p w14:paraId="596CB0C8" w14:textId="77777777" w:rsidR="000B4ACC" w:rsidRPr="001960A3" w:rsidRDefault="000B4ACC" w:rsidP="000B4ACC">
      <w:pPr>
        <w:tabs>
          <w:tab w:val="left" w:pos="720"/>
        </w:tabs>
        <w:jc w:val="center"/>
        <w:rPr>
          <w:b/>
          <w:color w:val="C00000"/>
          <w:sz w:val="36"/>
        </w:rPr>
      </w:pPr>
      <w:r w:rsidRPr="001960A3">
        <w:rPr>
          <w:b/>
          <w:color w:val="C00000"/>
          <w:sz w:val="36"/>
        </w:rPr>
        <w:t>Pravidlo č. 5</w:t>
      </w:r>
    </w:p>
    <w:p w14:paraId="39C6C019" w14:textId="77777777" w:rsidR="000B4ACC" w:rsidRPr="001960A3" w:rsidRDefault="000B4ACC" w:rsidP="000B4ACC">
      <w:pPr>
        <w:tabs>
          <w:tab w:val="left" w:pos="720"/>
        </w:tabs>
        <w:rPr>
          <w:b/>
        </w:rPr>
      </w:pPr>
      <w:r w:rsidRPr="001960A3">
        <w:rPr>
          <w:b/>
        </w:rPr>
        <w:t>Další informace, které potřebujete vědět:</w:t>
      </w:r>
    </w:p>
    <w:p w14:paraId="18C457F3" w14:textId="77777777" w:rsidR="000B4ACC" w:rsidRPr="001960A3" w:rsidRDefault="000B4ACC" w:rsidP="000B4ACC">
      <w:pPr>
        <w:numPr>
          <w:ilvl w:val="0"/>
          <w:numId w:val="6"/>
        </w:numPr>
        <w:spacing w:after="0" w:line="240" w:lineRule="auto"/>
        <w:jc w:val="both"/>
      </w:pPr>
      <w:r w:rsidRPr="001960A3">
        <w:t>spolupracujeme s OSPOD (poskytujeme informace o Vašem dítěti),</w:t>
      </w:r>
    </w:p>
    <w:p w14:paraId="3F6EC916" w14:textId="77777777" w:rsidR="000B4ACC" w:rsidRPr="001960A3" w:rsidRDefault="000B4ACC" w:rsidP="000B4ACC">
      <w:pPr>
        <w:numPr>
          <w:ilvl w:val="0"/>
          <w:numId w:val="6"/>
        </w:numPr>
        <w:spacing w:after="0" w:line="240" w:lineRule="auto"/>
      </w:pPr>
      <w:r w:rsidRPr="001960A3">
        <w:t>spolupracujeme se soudy, Policií ČR</w:t>
      </w:r>
      <w:r>
        <w:t xml:space="preserve"> a dalším odbornými institucemi</w:t>
      </w:r>
      <w:r w:rsidRPr="001960A3">
        <w:t>.</w:t>
      </w:r>
    </w:p>
    <w:p w14:paraId="18253998" w14:textId="77777777" w:rsidR="000B4ACC" w:rsidRPr="001960A3" w:rsidRDefault="000B4ACC" w:rsidP="000B4ACC">
      <w:pPr>
        <w:tabs>
          <w:tab w:val="left" w:pos="720"/>
        </w:tabs>
        <w:rPr>
          <w:b/>
        </w:rPr>
      </w:pPr>
    </w:p>
    <w:p w14:paraId="671F4592" w14:textId="77777777" w:rsidR="000B4ACC" w:rsidRPr="001960A3" w:rsidRDefault="000B4ACC" w:rsidP="000B4ACC">
      <w:pPr>
        <w:tabs>
          <w:tab w:val="left" w:pos="720"/>
        </w:tabs>
        <w:rPr>
          <w:b/>
        </w:rPr>
      </w:pPr>
      <w:r w:rsidRPr="001960A3">
        <w:rPr>
          <w:b/>
        </w:rPr>
        <w:t>Můžete nahlížet do spisové dokumentace dítěte dle zákonných možností.</w:t>
      </w:r>
    </w:p>
    <w:p w14:paraId="35BCEB93" w14:textId="77777777" w:rsidR="000B4ACC" w:rsidRPr="001960A3" w:rsidRDefault="000B4ACC" w:rsidP="000B4ACC">
      <w:pPr>
        <w:pStyle w:val="Zkladntext21"/>
        <w:rPr>
          <w:rFonts w:ascii="Times New Roman" w:hAnsi="Times New Roman" w:cs="Times New Roman"/>
          <w:b/>
          <w:bCs/>
        </w:rPr>
      </w:pPr>
    </w:p>
    <w:p w14:paraId="2BA631B5" w14:textId="77777777" w:rsidR="000B4ACC" w:rsidRDefault="000B4ACC" w:rsidP="000B4ACC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Můžete si stěžovat, když budete nespokojeni, přečtěte</w:t>
      </w:r>
      <w:r>
        <w:rPr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si: </w:t>
      </w:r>
    </w:p>
    <w:p w14:paraId="21CDB549" w14:textId="77777777" w:rsidR="000B4ACC" w:rsidRPr="001960A3" w:rsidRDefault="000B4ACC" w:rsidP="000B4ACC">
      <w:pPr>
        <w:pStyle w:val="Zkladntext21"/>
        <w:rPr>
          <w:rFonts w:ascii="Times New Roman" w:hAnsi="Times New Roman" w:cs="Times New Roman"/>
          <w:b/>
          <w:bCs/>
        </w:rPr>
      </w:pPr>
    </w:p>
    <w:p w14:paraId="6BB084C3" w14:textId="77777777" w:rsidR="000B4ACC" w:rsidRPr="001960A3" w:rsidRDefault="000B4ACC" w:rsidP="000B4ACC">
      <w:pPr>
        <w:pStyle w:val="Zkladntext21"/>
        <w:rPr>
          <w:rFonts w:ascii="Times New Roman" w:hAnsi="Times New Roman" w:cs="Times New Roman"/>
          <w:b/>
          <w:bCs/>
          <w:color w:val="FF0000"/>
          <w:u w:val="single"/>
        </w:rPr>
      </w:pPr>
      <w:r w:rsidRPr="001960A3">
        <w:rPr>
          <w:rFonts w:ascii="Times New Roman" w:hAnsi="Times New Roman" w:cs="Times New Roman"/>
          <w:b/>
          <w:bCs/>
          <w:color w:val="FF0000"/>
          <w:u w:val="single"/>
        </w:rPr>
        <w:t>Stížnostní řád</w:t>
      </w:r>
    </w:p>
    <w:p w14:paraId="6DE22579" w14:textId="77777777" w:rsidR="000B4ACC" w:rsidRPr="001960A3" w:rsidRDefault="000B4ACC" w:rsidP="000B4ACC">
      <w:pPr>
        <w:pStyle w:val="Zkladntext21"/>
        <w:rPr>
          <w:rFonts w:ascii="Times New Roman" w:hAnsi="Times New Roman" w:cs="Times New Roman"/>
          <w:b/>
          <w:color w:val="FF0000"/>
          <w:u w:val="single"/>
        </w:rPr>
      </w:pPr>
    </w:p>
    <w:p w14:paraId="17C47DE2" w14:textId="77777777" w:rsidR="000B4ACC" w:rsidRPr="001960A3" w:rsidRDefault="000B4ACC" w:rsidP="000B4ACC">
      <w:pPr>
        <w:jc w:val="both"/>
      </w:pPr>
      <w:r w:rsidRPr="001960A3">
        <w:t>Stížnost může podat dítě, zákonný zástupce a jím pověřená osoba, pracovník zařízení nebo další osoby (pracovníci jiných organizací a institucí, jiní příbuzní dítěte, cizí osoby, učitel, lékař aj.).</w:t>
      </w:r>
    </w:p>
    <w:p w14:paraId="681E025E" w14:textId="77777777" w:rsidR="000B4ACC" w:rsidRPr="001960A3" w:rsidRDefault="000B4ACC" w:rsidP="000B4ACC">
      <w:pPr>
        <w:jc w:val="both"/>
      </w:pPr>
      <w:r w:rsidRPr="001960A3">
        <w:t>Stížnost se může podat osobně, písemně, telefonicky, e-mailem nebo anonymně.</w:t>
      </w:r>
    </w:p>
    <w:p w14:paraId="624DC3FC" w14:textId="77777777" w:rsidR="000B4ACC" w:rsidRPr="001960A3" w:rsidRDefault="000B4ACC" w:rsidP="000B4ACC">
      <w:pPr>
        <w:jc w:val="both"/>
      </w:pPr>
      <w:r w:rsidRPr="001960A3">
        <w:t xml:space="preserve">Stížnost se může předat kterémukoli pracovníkovi zařízení nebo vložit do Schránky podnětů a stížností v přízemí budovy. Schránku podnětů a stížností vybírá </w:t>
      </w:r>
      <w:r>
        <w:t>1x za týden</w:t>
      </w:r>
      <w:r w:rsidRPr="001960A3">
        <w:t xml:space="preserve"> ředitelka zařízení nebo</w:t>
      </w:r>
      <w:r>
        <w:t xml:space="preserve"> jí</w:t>
      </w:r>
      <w:r w:rsidRPr="001960A3">
        <w:t xml:space="preserve"> pověřená  osoba. </w:t>
      </w:r>
    </w:p>
    <w:p w14:paraId="5C6493B4" w14:textId="77777777" w:rsidR="000B4ACC" w:rsidRPr="001960A3" w:rsidRDefault="000B4ACC" w:rsidP="000B4ACC">
      <w:pPr>
        <w:jc w:val="both"/>
      </w:pPr>
      <w:r w:rsidRPr="001960A3">
        <w:t>Všechny stížnosti jsou pečlivě prošetřeny a zaevidovány do Knihy podnětů a stížností, kterou má ve správě ředitelka zařízení nebo</w:t>
      </w:r>
      <w:r>
        <w:t xml:space="preserve"> jí</w:t>
      </w:r>
      <w:r w:rsidRPr="001960A3">
        <w:t xml:space="preserve"> pověřená osoba. </w:t>
      </w:r>
    </w:p>
    <w:p w14:paraId="19835595" w14:textId="77777777" w:rsidR="000B4ACC" w:rsidRPr="001960A3" w:rsidRDefault="000B4ACC" w:rsidP="000B4ACC">
      <w:pPr>
        <w:widowControl w:val="0"/>
        <w:jc w:val="both"/>
      </w:pPr>
      <w:r w:rsidRPr="001960A3">
        <w:t>Oprávněnými osobami, které stížnosti vyřizují, jsou sociální pracovníci, vedoucí provozu, ředitelé zařízení, předsedkyně FOD</w:t>
      </w:r>
      <w:r>
        <w:t>, případně Předsednictvo FOD</w:t>
      </w:r>
      <w:r w:rsidRPr="001960A3">
        <w:t>.</w:t>
      </w:r>
    </w:p>
    <w:p w14:paraId="5E76EBE6" w14:textId="77777777" w:rsidR="000B4ACC" w:rsidRPr="001960A3" w:rsidRDefault="000B4ACC" w:rsidP="000B4ACC">
      <w:pPr>
        <w:widowControl w:val="0"/>
        <w:tabs>
          <w:tab w:val="left" w:pos="0"/>
        </w:tabs>
        <w:jc w:val="both"/>
      </w:pPr>
      <w:r w:rsidRPr="001960A3">
        <w:t xml:space="preserve">Stížnost dítěte se řeší ihned. </w:t>
      </w:r>
    </w:p>
    <w:p w14:paraId="1344CE4B" w14:textId="77777777" w:rsidR="000B4ACC" w:rsidRPr="001960A3" w:rsidRDefault="000B4ACC" w:rsidP="000B4ACC">
      <w:pPr>
        <w:widowControl w:val="0"/>
        <w:tabs>
          <w:tab w:val="left" w:pos="0"/>
        </w:tabs>
        <w:jc w:val="both"/>
      </w:pPr>
      <w:r w:rsidRPr="001960A3">
        <w:t>Stížnost je vyřízena do 8 dnů, ze závažných důvodů nebo z důvodů absence pracovníka v zařízení do 30 dnů. V případě postoupení stížnosti předsedkyni FOD může být lhůta pro vyřízení stížnosti prodloužena až na 60 dnů, přičemž do 30 dnů je stěžovatel obeznámen se započetím řešení stížnosti.</w:t>
      </w:r>
    </w:p>
    <w:p w14:paraId="51AAD0C3" w14:textId="77777777" w:rsidR="000B4ACC" w:rsidRPr="001960A3" w:rsidRDefault="000B4ACC" w:rsidP="000B4ACC">
      <w:pPr>
        <w:jc w:val="both"/>
      </w:pPr>
      <w:r w:rsidRPr="001960A3">
        <w:lastRenderedPageBreak/>
        <w:t>Pokud je stěžovatel s výsledkem stížnosti od předsedkyně FOD nespokojen, může stížnost podat nezávislé instituci k prošetření.</w:t>
      </w:r>
    </w:p>
    <w:p w14:paraId="2117A78D" w14:textId="77777777" w:rsidR="000B4ACC" w:rsidRDefault="000B4ACC" w:rsidP="000B4ACC">
      <w:pPr>
        <w:jc w:val="both"/>
      </w:pPr>
      <w:r w:rsidRPr="001960A3">
        <w:t>Pokud se stížnost podává proti pracovníkovi, který má stížnost přijmout, stěžovatel ji podá osobě jemu nadřízené.</w:t>
      </w:r>
    </w:p>
    <w:p w14:paraId="241E1C8A" w14:textId="77777777" w:rsidR="000B4ACC" w:rsidRDefault="000B4ACC" w:rsidP="000B4ACC">
      <w:pPr>
        <w:jc w:val="both"/>
        <w:rPr>
          <w:b/>
          <w:bCs/>
        </w:rPr>
      </w:pPr>
      <w:r w:rsidRPr="001960A3">
        <w:rPr>
          <w:b/>
          <w:bCs/>
        </w:rPr>
        <w:t>MOTTO: Klokánek je láskyplným přístavem dětí v tísni a majákem pro rodiče. Našim společným cílem je šťastné dítě v kruhu svých blízkých.</w:t>
      </w:r>
    </w:p>
    <w:sectPr w:rsidR="000B4ACC" w:rsidSect="000B4ACC">
      <w:headerReference w:type="default" r:id="rId7"/>
      <w:pgSz w:w="11906" w:h="16838"/>
      <w:pgMar w:top="1247" w:right="1247" w:bottom="1247" w:left="1247" w:header="992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1EA11" w14:textId="77777777" w:rsidR="00BC4A2F" w:rsidRDefault="00BC4A2F" w:rsidP="000B4ACC">
      <w:pPr>
        <w:spacing w:after="0" w:line="240" w:lineRule="auto"/>
      </w:pPr>
      <w:r>
        <w:separator/>
      </w:r>
    </w:p>
  </w:endnote>
  <w:endnote w:type="continuationSeparator" w:id="0">
    <w:p w14:paraId="1F895F8F" w14:textId="77777777" w:rsidR="00BC4A2F" w:rsidRDefault="00BC4A2F" w:rsidP="000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1B8BA" w14:textId="77777777" w:rsidR="00BC4A2F" w:rsidRDefault="00BC4A2F" w:rsidP="000B4ACC">
      <w:pPr>
        <w:spacing w:after="0" w:line="240" w:lineRule="auto"/>
      </w:pPr>
      <w:r>
        <w:separator/>
      </w:r>
    </w:p>
  </w:footnote>
  <w:footnote w:type="continuationSeparator" w:id="0">
    <w:p w14:paraId="74BD59DA" w14:textId="77777777" w:rsidR="00BC4A2F" w:rsidRDefault="00BC4A2F" w:rsidP="000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BBB2E" w14:textId="17159DF7" w:rsidR="00BF7549" w:rsidRDefault="00BF7549" w:rsidP="006B3135">
    <w:pPr>
      <w:pStyle w:val="Zhlav"/>
      <w:tabs>
        <w:tab w:val="clear" w:pos="9072"/>
        <w:tab w:val="right" w:pos="-1418"/>
      </w:tabs>
      <w:ind w:left="567" w:right="5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E0711"/>
    <w:multiLevelType w:val="hybridMultilevel"/>
    <w:tmpl w:val="7FBEFB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815F6"/>
    <w:multiLevelType w:val="hybridMultilevel"/>
    <w:tmpl w:val="7C3C76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57CDE"/>
    <w:multiLevelType w:val="hybridMultilevel"/>
    <w:tmpl w:val="40B265C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379C6"/>
    <w:multiLevelType w:val="hybridMultilevel"/>
    <w:tmpl w:val="F678EF50"/>
    <w:lvl w:ilvl="0" w:tplc="BF188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A2F22"/>
    <w:multiLevelType w:val="hybridMultilevel"/>
    <w:tmpl w:val="DED081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0CB9A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D2DAA"/>
    <w:multiLevelType w:val="hybridMultilevel"/>
    <w:tmpl w:val="C5A02E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74A9B"/>
    <w:multiLevelType w:val="hybridMultilevel"/>
    <w:tmpl w:val="E722B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521"/>
    <w:multiLevelType w:val="hybridMultilevel"/>
    <w:tmpl w:val="A6B84A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3CB5"/>
    <w:multiLevelType w:val="hybridMultilevel"/>
    <w:tmpl w:val="34F4F1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D30C2"/>
    <w:multiLevelType w:val="hybridMultilevel"/>
    <w:tmpl w:val="A36E28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138F8"/>
    <w:multiLevelType w:val="hybridMultilevel"/>
    <w:tmpl w:val="C65C6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1424D"/>
    <w:multiLevelType w:val="hybridMultilevel"/>
    <w:tmpl w:val="AB2438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CC"/>
    <w:rsid w:val="000B4ACC"/>
    <w:rsid w:val="00193668"/>
    <w:rsid w:val="002761B6"/>
    <w:rsid w:val="003D1764"/>
    <w:rsid w:val="00446F93"/>
    <w:rsid w:val="005040C9"/>
    <w:rsid w:val="00787AC4"/>
    <w:rsid w:val="00857E28"/>
    <w:rsid w:val="00B83DA6"/>
    <w:rsid w:val="00BA31CE"/>
    <w:rsid w:val="00BC4A2F"/>
    <w:rsid w:val="00BF7549"/>
    <w:rsid w:val="00D037BD"/>
    <w:rsid w:val="00D05041"/>
    <w:rsid w:val="00D673B8"/>
    <w:rsid w:val="00F032FC"/>
    <w:rsid w:val="00F1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1333E"/>
  <w15:chartTrackingRefBased/>
  <w15:docId w15:val="{F9920D8F-1D7D-4B86-ADAA-74843BEB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AC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B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AC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B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B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4AC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4AC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4AC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AC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4AC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ACC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B4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ACC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Zkladntext">
    <w:name w:val="Body Text"/>
    <w:basedOn w:val="Normln"/>
    <w:link w:val="ZkladntextChar"/>
    <w:rsid w:val="000B4ACC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0B4ACC"/>
    <w:rPr>
      <w:rFonts w:ascii="Times New Roman" w:eastAsia="Times New Roman" w:hAnsi="Times New Roman" w:cs="Times New Roman"/>
      <w:b/>
      <w:kern w:val="0"/>
      <w:lang w:eastAsia="cs-CZ"/>
      <w14:ligatures w14:val="none"/>
    </w:rPr>
  </w:style>
  <w:style w:type="paragraph" w:customStyle="1" w:styleId="Zkladntext21">
    <w:name w:val="Základní text 21"/>
    <w:basedOn w:val="Normln"/>
    <w:rsid w:val="000B4ACC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styleId="Hypertextovodkaz">
    <w:name w:val="Hyperlink"/>
    <w:rsid w:val="000B4ACC"/>
    <w:rPr>
      <w:color w:val="0000FF"/>
      <w:u w:val="single"/>
    </w:rPr>
  </w:style>
  <w:style w:type="paragraph" w:styleId="Normlnweb">
    <w:name w:val="Normal (Web)"/>
    <w:basedOn w:val="Normln"/>
    <w:rsid w:val="000B4ACC"/>
    <w:pPr>
      <w:spacing w:before="100" w:beforeAutospacing="1" w:after="100" w:afterAutospacing="1" w:line="240" w:lineRule="auto"/>
      <w:ind w:left="714" w:hanging="357"/>
      <w:jc w:val="both"/>
    </w:pPr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1757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Kupková</dc:creator>
  <cp:keywords/>
  <dc:description/>
  <cp:lastModifiedBy>Účet Microsoft</cp:lastModifiedBy>
  <cp:revision>2</cp:revision>
  <dcterms:created xsi:type="dcterms:W3CDTF">2025-05-19T09:22:00Z</dcterms:created>
  <dcterms:modified xsi:type="dcterms:W3CDTF">2025-05-19T09:22:00Z</dcterms:modified>
</cp:coreProperties>
</file>